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B0" w:rsidRDefault="00F626AF" w:rsidP="005C1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FA2">
        <w:rPr>
          <w:rFonts w:ascii="Times New Roman" w:hAnsi="Times New Roman"/>
          <w:b/>
          <w:bCs/>
          <w:sz w:val="28"/>
          <w:szCs w:val="28"/>
        </w:rPr>
        <w:t>Преемственность ОРКСЭ и ОДНКНР:</w:t>
      </w:r>
    </w:p>
    <w:p w:rsidR="00F626AF" w:rsidRDefault="00F626AF" w:rsidP="005C1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22FA2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proofErr w:type="spellStart"/>
      <w:r w:rsidRPr="00322FA2">
        <w:rPr>
          <w:rFonts w:ascii="Times New Roman" w:hAnsi="Times New Roman"/>
          <w:b/>
          <w:bCs/>
          <w:sz w:val="28"/>
          <w:szCs w:val="28"/>
        </w:rPr>
        <w:t>межпредметной</w:t>
      </w:r>
      <w:proofErr w:type="spellEnd"/>
      <w:r w:rsidRPr="00322FA2">
        <w:rPr>
          <w:rFonts w:ascii="Times New Roman" w:hAnsi="Times New Roman"/>
          <w:b/>
          <w:bCs/>
          <w:sz w:val="28"/>
          <w:szCs w:val="28"/>
        </w:rPr>
        <w:t xml:space="preserve"> интеграции</w:t>
      </w:r>
    </w:p>
    <w:p w:rsidR="005C14B0" w:rsidRPr="00322FA2" w:rsidRDefault="005C14B0" w:rsidP="005C14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14B0" w:rsidRDefault="005C14B0" w:rsidP="005C14B0">
      <w:pPr>
        <w:tabs>
          <w:tab w:val="left" w:pos="3686"/>
          <w:tab w:val="left" w:pos="3828"/>
        </w:tabs>
        <w:spacing w:after="0"/>
        <w:ind w:left="2552" w:hanging="3544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</w:t>
      </w:r>
      <w:proofErr w:type="spellStart"/>
      <w:r w:rsidRPr="00F626AF">
        <w:rPr>
          <w:rFonts w:ascii="Times New Roman" w:hAnsi="Times New Roman"/>
          <w:bCs/>
          <w:i/>
          <w:sz w:val="28"/>
          <w:szCs w:val="28"/>
        </w:rPr>
        <w:t>Гунтарева</w:t>
      </w:r>
      <w:proofErr w:type="spellEnd"/>
      <w:r w:rsidRPr="00F626AF">
        <w:rPr>
          <w:rFonts w:ascii="Times New Roman" w:hAnsi="Times New Roman"/>
          <w:bCs/>
          <w:i/>
          <w:sz w:val="28"/>
          <w:szCs w:val="28"/>
        </w:rPr>
        <w:t xml:space="preserve"> Е.Е., старший преподаватель </w:t>
      </w:r>
      <w:r>
        <w:rPr>
          <w:rFonts w:ascii="Times New Roman" w:hAnsi="Times New Roman"/>
          <w:bCs/>
          <w:i/>
          <w:sz w:val="28"/>
          <w:szCs w:val="28"/>
        </w:rPr>
        <w:t xml:space="preserve">кафедры </w:t>
      </w:r>
      <w:r w:rsidRPr="00F626AF">
        <w:rPr>
          <w:rFonts w:ascii="Times New Roman" w:hAnsi="Times New Roman"/>
          <w:bCs/>
          <w:i/>
          <w:sz w:val="28"/>
          <w:szCs w:val="28"/>
        </w:rPr>
        <w:t>во</w:t>
      </w:r>
      <w:r>
        <w:rPr>
          <w:rFonts w:ascii="Times New Roman" w:hAnsi="Times New Roman"/>
          <w:bCs/>
          <w:i/>
          <w:sz w:val="28"/>
          <w:szCs w:val="28"/>
        </w:rPr>
        <w:t xml:space="preserve">спитания и социализации детей и  </w:t>
      </w:r>
      <w:r w:rsidRPr="00F626AF">
        <w:rPr>
          <w:rFonts w:ascii="Times New Roman" w:hAnsi="Times New Roman"/>
          <w:bCs/>
          <w:i/>
          <w:sz w:val="28"/>
          <w:szCs w:val="28"/>
        </w:rPr>
        <w:t>молодежи С</w:t>
      </w:r>
      <w:r>
        <w:rPr>
          <w:rFonts w:ascii="Times New Roman" w:hAnsi="Times New Roman"/>
          <w:bCs/>
          <w:i/>
          <w:sz w:val="28"/>
          <w:szCs w:val="28"/>
        </w:rPr>
        <w:t>О</w:t>
      </w:r>
      <w:r w:rsidRPr="00F626AF">
        <w:rPr>
          <w:rFonts w:ascii="Times New Roman" w:hAnsi="Times New Roman"/>
          <w:bCs/>
          <w:i/>
          <w:sz w:val="28"/>
          <w:szCs w:val="28"/>
        </w:rPr>
        <w:t>ИРО</w:t>
      </w:r>
    </w:p>
    <w:p w:rsidR="005C14B0" w:rsidRDefault="005C14B0" w:rsidP="005C14B0">
      <w:pPr>
        <w:tabs>
          <w:tab w:val="left" w:pos="3686"/>
          <w:tab w:val="left" w:pos="3828"/>
        </w:tabs>
        <w:spacing w:after="0"/>
        <w:ind w:left="2552" w:hanging="3544"/>
        <w:rPr>
          <w:rFonts w:ascii="Times New Roman" w:hAnsi="Times New Roman"/>
          <w:bCs/>
          <w:i/>
          <w:sz w:val="28"/>
          <w:szCs w:val="28"/>
        </w:rPr>
      </w:pPr>
      <w:bookmarkStart w:id="0" w:name="_GoBack"/>
      <w:bookmarkEnd w:id="0"/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Примерный учебный план основного общего образования предусматривает изучение предметной области ОДНКНР либо в форме урочных занятий,  либо в форме внеурочных занятий. Возможна также реализация предметной области ОДНКНР в 5-9 классах в качестве модулей в составе других предметов (истории, обществознания, литературы, музыки, изобразительного искусства и т.д.). Соответственно, предусматриваются различные варианты преемственности. Как упрощенный и наиболее приемлемый вариант </w:t>
      </w:r>
      <w:proofErr w:type="spellStart"/>
      <w:r w:rsidRPr="00322FA2">
        <w:rPr>
          <w:rFonts w:ascii="Times New Roman" w:hAnsi="Times New Roman"/>
          <w:bCs/>
          <w:sz w:val="28"/>
          <w:szCs w:val="28"/>
        </w:rPr>
        <w:t>межпредметной</w:t>
      </w:r>
      <w:proofErr w:type="spellEnd"/>
      <w:r w:rsidRPr="00322FA2">
        <w:rPr>
          <w:rFonts w:ascii="Times New Roman" w:hAnsi="Times New Roman"/>
          <w:bCs/>
          <w:sz w:val="28"/>
          <w:szCs w:val="28"/>
        </w:rPr>
        <w:t xml:space="preserve"> интеграции является включение знаний о православной культуре в одну из предметных областей, например в литературу.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>Надо подчеркнуть, что на уроках литературы такая интеграция обязательна и необходима для полноценного и всестороннего изучения художественного произведения. Например, в повести А.С. Пушкина «Станционный смотритель» идейный замысел произведения запечатлен автором в такой, на первый взгляд, незначительной, художественной детали, как «картинки» на стене, изображающие евангельскую притчу о блудном сыне. Интерпретация притчи и осмысление христианских ценностей, в ней заложенных, сопоставление сюжета притчи и смысловой композиции автора помогают раскрыть «действие» притчи в произведении и способствует «прочтению» авторской позиции.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Каждое произведение, включенное в школьную программу, обладает значительным духовно-нравственным потенциалом, однако, есть несколько блоков произведений, 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содержании</w:t>
      </w:r>
      <w:proofErr w:type="gramEnd"/>
      <w:r w:rsidRPr="00322FA2">
        <w:rPr>
          <w:rFonts w:ascii="Times New Roman" w:hAnsi="Times New Roman"/>
          <w:bCs/>
          <w:sz w:val="28"/>
          <w:szCs w:val="28"/>
        </w:rPr>
        <w:t xml:space="preserve"> которых этот потенциал реализует себя исключительно полно, ярко. Это: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22FA2">
        <w:rPr>
          <w:rFonts w:ascii="Times New Roman" w:hAnsi="Times New Roman"/>
          <w:bCs/>
          <w:sz w:val="28"/>
          <w:szCs w:val="28"/>
        </w:rPr>
        <w:t>-библейские произведения (например, рассказы Библии:</w:t>
      </w:r>
      <w:proofErr w:type="gramEnd"/>
      <w:r w:rsidRPr="00322FA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«Сотворение мира», «Вавилонская башня», «Притча о блудном сыне»), где содержатся моральные нормы и доказательства, жизнь среди людей без соблюдения этих норм невозможна;</w:t>
      </w:r>
      <w:proofErr w:type="gramEnd"/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>-фольклор, произведения которого учат добру, любви, содержат правила поведения человека в жизни;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>-древнерусская литература, в которой наиболее полно выражается духовный менталитет, идеалы и ценностные ориентиры русского народа;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lastRenderedPageBreak/>
        <w:t xml:space="preserve">-святочная проза. В святочных рассказах раскрываются отношения материального, земного мира и мира невидимого, которые иногда слиты («Чудесный доктор» А.И. Куприна), часто противопоставлены («Ночь перед Рождеством» Н.В. Гоголя) или один мир переходит в другой (Ф.М. Достоевский «Мальчик у Христа на ёлке»). Эти рассказы учат любви, добру, состраданию, утверждают веру в то, что в жизни бывает чудо. 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>-художественные произведения чисто светского содержания, в которых наиболее полно выражен духовно-нравственный компонент.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Приведем пример   интеграции содержательных элементов ОРКСЭ в уроки литературы.  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В рамках модуля «Основы светской этики» в 4 классе на занятии по теме «Добро и зло» учащиеся учатся отличать добро от зла.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И при изучении «Поучения Владимира Мономаха» на уроках литературы обучающиеся выясняют</w:t>
      </w:r>
      <w:r>
        <w:rPr>
          <w:rFonts w:ascii="Times New Roman" w:hAnsi="Times New Roman"/>
          <w:bCs/>
          <w:sz w:val="28"/>
          <w:szCs w:val="28"/>
        </w:rPr>
        <w:t xml:space="preserve"> на основе полученных знаний с уроков ОРКСЭ</w:t>
      </w:r>
      <w:r w:rsidRPr="00322FA2">
        <w:rPr>
          <w:rFonts w:ascii="Times New Roman" w:hAnsi="Times New Roman"/>
          <w:bCs/>
          <w:sz w:val="28"/>
          <w:szCs w:val="28"/>
        </w:rPr>
        <w:t>, в чем же заключалась суть добра, которое начинается с малого: «милостыню нескудную» подавать, делиться с ближним, уметь понять положение другого человека, помочь ему в трудную минуту.</w:t>
      </w:r>
      <w:proofErr w:type="gramEnd"/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Свои наставления Мономах основывает на словах Псалтыри: «Лучше праведнику малое, нежели многое богатство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грешным</w:t>
      </w:r>
      <w:proofErr w:type="gramEnd"/>
      <w:r w:rsidRPr="00322FA2">
        <w:rPr>
          <w:rFonts w:ascii="Times New Roman" w:hAnsi="Times New Roman"/>
          <w:bCs/>
          <w:sz w:val="28"/>
          <w:szCs w:val="28"/>
        </w:rPr>
        <w:t xml:space="preserve">. Ибо сила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грешных</w:t>
      </w:r>
      <w:proofErr w:type="gramEnd"/>
      <w:r w:rsidRPr="00322FA2">
        <w:rPr>
          <w:rFonts w:ascii="Times New Roman" w:hAnsi="Times New Roman"/>
          <w:bCs/>
          <w:sz w:val="28"/>
          <w:szCs w:val="28"/>
        </w:rPr>
        <w:t xml:space="preserve"> сокрушится, праведных же укрепляет  Господь». «Уклонись от зла, сотвори добро, найди мир и отгони зло, и живи во веки веков».</w:t>
      </w:r>
    </w:p>
    <w:p w:rsidR="00F626AF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>Знакомясь с «Поучением», школьники приходят к выводу, что творить добро не только хорошо для окружающих, но и выгодно для самого человека, ибо «делающие зло погибают».</w:t>
      </w:r>
    </w:p>
    <w:p w:rsidR="00F626AF" w:rsidRPr="00322FA2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22FA2">
        <w:rPr>
          <w:rFonts w:ascii="Times New Roman" w:hAnsi="Times New Roman"/>
          <w:bCs/>
          <w:sz w:val="28"/>
          <w:szCs w:val="28"/>
        </w:rPr>
        <w:t>озможности интеграции открывают и такие темы как</w:t>
      </w:r>
      <w:r>
        <w:rPr>
          <w:rFonts w:ascii="Times New Roman" w:hAnsi="Times New Roman"/>
          <w:bCs/>
          <w:sz w:val="28"/>
          <w:szCs w:val="28"/>
        </w:rPr>
        <w:t xml:space="preserve"> милосердие, совесть, семья и др.</w:t>
      </w:r>
      <w:r w:rsidRPr="00322F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22FA2">
        <w:rPr>
          <w:rFonts w:ascii="Times New Roman" w:hAnsi="Times New Roman"/>
          <w:bCs/>
          <w:sz w:val="28"/>
          <w:szCs w:val="28"/>
        </w:rPr>
        <w:t>месте с тем учителю литературы важно понимать</w:t>
      </w:r>
      <w:r>
        <w:rPr>
          <w:rFonts w:ascii="Times New Roman" w:hAnsi="Times New Roman"/>
          <w:bCs/>
          <w:sz w:val="28"/>
          <w:szCs w:val="28"/>
        </w:rPr>
        <w:t>,</w:t>
      </w:r>
      <w:r w:rsidRPr="00322FA2">
        <w:rPr>
          <w:rFonts w:ascii="Times New Roman" w:hAnsi="Times New Roman"/>
          <w:bCs/>
          <w:sz w:val="28"/>
          <w:szCs w:val="28"/>
        </w:rPr>
        <w:t xml:space="preserve"> что дети уже знают из курса ОРКСЭ, что нового они приобретут, если </w:t>
      </w:r>
      <w:r>
        <w:rPr>
          <w:rFonts w:ascii="Times New Roman" w:hAnsi="Times New Roman"/>
          <w:bCs/>
          <w:sz w:val="28"/>
          <w:szCs w:val="28"/>
        </w:rPr>
        <w:t xml:space="preserve">он </w:t>
      </w:r>
      <w:r w:rsidRPr="00322FA2">
        <w:rPr>
          <w:rFonts w:ascii="Times New Roman" w:hAnsi="Times New Roman"/>
          <w:bCs/>
          <w:sz w:val="28"/>
          <w:szCs w:val="28"/>
        </w:rPr>
        <w:t>включа</w:t>
      </w:r>
      <w:r>
        <w:rPr>
          <w:rFonts w:ascii="Times New Roman" w:hAnsi="Times New Roman"/>
          <w:bCs/>
          <w:sz w:val="28"/>
          <w:szCs w:val="28"/>
        </w:rPr>
        <w:t>ет</w:t>
      </w:r>
      <w:r w:rsidRPr="00322FA2">
        <w:rPr>
          <w:rFonts w:ascii="Times New Roman" w:hAnsi="Times New Roman"/>
          <w:bCs/>
          <w:sz w:val="28"/>
          <w:szCs w:val="28"/>
        </w:rPr>
        <w:t xml:space="preserve"> это содержание в свой урок, как можно этот материал связать с новой темой на уроке литературы.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2FA2">
        <w:rPr>
          <w:rFonts w:ascii="Times New Roman" w:hAnsi="Times New Roman"/>
          <w:bCs/>
          <w:sz w:val="28"/>
          <w:szCs w:val="28"/>
        </w:rPr>
        <w:t xml:space="preserve"> В этом и заключается понимание и реализация принципа преемственности предметных областей в рамках школьной программы.</w:t>
      </w:r>
    </w:p>
    <w:p w:rsidR="005E0FF4" w:rsidRPr="005C14B0" w:rsidRDefault="00F626AF" w:rsidP="005C14B0">
      <w:pPr>
        <w:jc w:val="both"/>
        <w:rPr>
          <w:rFonts w:ascii="Times New Roman" w:hAnsi="Times New Roman"/>
          <w:bCs/>
          <w:sz w:val="28"/>
          <w:szCs w:val="28"/>
        </w:rPr>
      </w:pPr>
      <w:r w:rsidRPr="00322FA2">
        <w:rPr>
          <w:rFonts w:ascii="Times New Roman" w:hAnsi="Times New Roman"/>
          <w:bCs/>
          <w:sz w:val="28"/>
          <w:szCs w:val="28"/>
        </w:rPr>
        <w:t xml:space="preserve">Как видим, содержание курса </w:t>
      </w:r>
      <w:proofErr w:type="gramStart"/>
      <w:r w:rsidRPr="00322FA2">
        <w:rPr>
          <w:rFonts w:ascii="Times New Roman" w:hAnsi="Times New Roman"/>
          <w:bCs/>
          <w:sz w:val="28"/>
          <w:szCs w:val="28"/>
        </w:rPr>
        <w:t>литературы</w:t>
      </w:r>
      <w:proofErr w:type="gramEnd"/>
      <w:r w:rsidRPr="00322FA2">
        <w:rPr>
          <w:rFonts w:ascii="Times New Roman" w:hAnsi="Times New Roman"/>
          <w:bCs/>
          <w:sz w:val="28"/>
          <w:szCs w:val="28"/>
        </w:rPr>
        <w:t xml:space="preserve"> и содержание курса ОРКСЭ имеют общие темы (милосердие, совесть, добро и зло, семья и т.д.), что способствует </w:t>
      </w:r>
      <w:proofErr w:type="spellStart"/>
      <w:r w:rsidRPr="00322FA2">
        <w:rPr>
          <w:rFonts w:ascii="Times New Roman" w:hAnsi="Times New Roman"/>
          <w:bCs/>
          <w:sz w:val="28"/>
          <w:szCs w:val="28"/>
        </w:rPr>
        <w:t>межпредметной</w:t>
      </w:r>
      <w:proofErr w:type="spellEnd"/>
      <w:r w:rsidRPr="00322FA2">
        <w:rPr>
          <w:rFonts w:ascii="Times New Roman" w:hAnsi="Times New Roman"/>
          <w:bCs/>
          <w:sz w:val="28"/>
          <w:szCs w:val="28"/>
        </w:rPr>
        <w:t xml:space="preserve"> интеграции. </w:t>
      </w:r>
    </w:p>
    <w:sectPr w:rsidR="005E0FF4" w:rsidRPr="005C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25"/>
    <w:rsid w:val="005C14B0"/>
    <w:rsid w:val="005E0FF4"/>
    <w:rsid w:val="00E31A25"/>
    <w:rsid w:val="00F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1111</cp:lastModifiedBy>
  <cp:revision>4</cp:revision>
  <dcterms:created xsi:type="dcterms:W3CDTF">2016-10-03T19:48:00Z</dcterms:created>
  <dcterms:modified xsi:type="dcterms:W3CDTF">2016-10-04T10:42:00Z</dcterms:modified>
</cp:coreProperties>
</file>