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right"/>
        <w:rPr>
          <w:rFonts w:ascii="Times New Roman" w:cs="Times New Roman" w:eastAsia="Times New Roman" w:hAnsi="Times New Roman"/>
          <w:b w:val="1"/>
          <w:color w:val="00000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rtl w:val="0"/>
        </w:rPr>
        <w:t xml:space="preserve">Приложение к отчету 2</w:t>
      </w:r>
    </w:p>
    <w:p w:rsidR="00000000" w:rsidDel="00000000" w:rsidP="00000000" w:rsidRDefault="00000000" w:rsidRPr="00000000">
      <w:pPr>
        <w:spacing w:line="240" w:lineRule="auto"/>
        <w:contextualSpacing w:val="0"/>
        <w:jc w:val="right"/>
        <w:rPr>
          <w:rFonts w:ascii="Times New Roman" w:cs="Times New Roman" w:eastAsia="Times New Roman" w:hAnsi="Times New Roman"/>
          <w:b w:val="1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highlight w:val="white"/>
          <w:rtl w:val="0"/>
        </w:rPr>
        <w:t xml:space="preserve">Статьи, опубликованные в печатных изданиях или интернете (уровня ОУ, региональном или межрегиональном) - название, аннотация, издание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highlight w:val="white"/>
          <w:rtl w:val="0"/>
        </w:rPr>
        <w:t xml:space="preserve">Иванченкова В.Г.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color w:val="00000a"/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highlight w:val="white"/>
          <w:rtl w:val="0"/>
        </w:rPr>
        <w:t xml:space="preserve">Название: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8"/>
          <w:szCs w:val="28"/>
          <w:highlight w:val="white"/>
          <w:rtl w:val="0"/>
        </w:rPr>
        <w:t xml:space="preserve"> Обзор российского рынка строительных работ и услуг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Times New Roman" w:cs="Times New Roman" w:eastAsia="Times New Roman" w:hAnsi="Times New Roman"/>
          <w:color w:val="00000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rtl w:val="0"/>
        </w:rPr>
        <w:t xml:space="preserve">Аннотация.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8"/>
          <w:szCs w:val="28"/>
          <w:rtl w:val="0"/>
        </w:rPr>
        <w:t xml:space="preserve"> В статье описываются особенности российского рынка строительных работ и услуг, и предпринимается попытка разграничить понятия «строительные работы» и «строительные услуги». Рассмотрены основные участники рынка ремонтно-строительных работ и услуг, их взаимодействие и проблемы, намечены основные тенденции развития рынка. 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Times New Roman" w:cs="Times New Roman" w:eastAsia="Times New Roman" w:hAnsi="Times New Roman"/>
          <w:color w:val="00000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rtl w:val="0"/>
        </w:rPr>
        <w:t xml:space="preserve">Издание: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8"/>
          <w:szCs w:val="28"/>
          <w:rtl w:val="0"/>
        </w:rPr>
        <w:t xml:space="preserve"> международное научно-практическое периодическое сетевое издание «Форум молодых ученых», выпуск № 11 (15) (ноябрь, 2017). 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Liberation Serif" w:cs="Liberation Serif" w:eastAsia="Liberation Serif" w:hAnsi="Liberation Serif"/>
          <w:color w:val="00000a"/>
          <w:sz w:val="24"/>
          <w:szCs w:val="24"/>
        </w:rPr>
      </w:pPr>
      <w:bookmarkStart w:colFirst="0" w:colLast="0" w:name="_xfditacpwy3r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a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rtl w:val="0"/>
        </w:rPr>
        <w:t xml:space="preserve">Ссылка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8"/>
          <w:szCs w:val="28"/>
          <w:rtl w:val="0"/>
        </w:rPr>
        <w:t xml:space="preserve">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80"/>
            <w:sz w:val="28"/>
            <w:szCs w:val="28"/>
            <w:u w:val="single"/>
            <w:rtl w:val="0"/>
          </w:rPr>
          <w:t xml:space="preserve">http://forum-nauka.ru/domains_data/files/15/Ivanchenkova%20V.G.pdf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Liberation Serif" w:cs="Liberation Serif" w:eastAsia="Liberation Serif" w:hAnsi="Liberation Serif"/>
          <w:color w:val="00000a"/>
          <w:sz w:val="24"/>
          <w:szCs w:val="24"/>
        </w:rPr>
      </w:pPr>
      <w:bookmarkStart w:colFirst="0" w:colLast="0" w:name="_g0khkmu4xzl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Liberation Serif" w:cs="Liberation Serif" w:eastAsia="Liberation Serif" w:hAnsi="Liberation Serif"/>
          <w:color w:val="00000a"/>
          <w:sz w:val="24"/>
          <w:szCs w:val="24"/>
        </w:rPr>
      </w:pPr>
      <w:bookmarkStart w:colFirst="0" w:colLast="0" w:name="_8xf8q3c8j8cw" w:id="2"/>
      <w:bookmarkEnd w:id="2"/>
      <w:r w:rsidDel="00000000" w:rsidR="00000000" w:rsidRPr="00000000">
        <w:rPr>
          <w:rFonts w:ascii="Liberation Serif" w:cs="Liberation Serif" w:eastAsia="Liberation Serif" w:hAnsi="Liberation Serif"/>
          <w:color w:val="00000a"/>
          <w:sz w:val="24"/>
          <w:szCs w:val="24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“Информационно-коммуникационные технологии в теории и практике преподавания русского языка и литературы в условиях электронного обучения”, Шаг за шагом. Практика дистанционного образования детей-инвалидов: Сборник материалов/Сост. Рудинская В.В., Рудинский В.В. - Смоленск: ГАУ ДПО СОИРО, 2016.- С. 74-80.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Liberation Serif" w:cs="Liberation Serif" w:eastAsia="Liberation Serif" w:hAnsi="Liberation Serif"/>
          <w:color w:val="00000a"/>
          <w:sz w:val="24"/>
          <w:szCs w:val="24"/>
        </w:rPr>
      </w:pPr>
      <w:bookmarkStart w:colFirst="0" w:colLast="0" w:name="_sqi631sgbn3e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Times New Roman" w:cs="Times New Roman" w:eastAsia="Times New Roman" w:hAnsi="Times New Roman"/>
          <w:b w:val="1"/>
          <w:color w:val="00000a"/>
          <w:sz w:val="28"/>
          <w:szCs w:val="28"/>
        </w:rPr>
      </w:pPr>
      <w:bookmarkStart w:colFirst="0" w:colLast="0" w:name="_7jp1gg2kok4a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rtl w:val="0"/>
        </w:rPr>
        <w:t xml:space="preserve">Лавринова И.И.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Liberation Serif" w:cs="Liberation Serif" w:eastAsia="Liberation Serif" w:hAnsi="Liberation Serif"/>
          <w:color w:val="00000a"/>
          <w:sz w:val="24"/>
          <w:szCs w:val="24"/>
        </w:rPr>
      </w:pPr>
      <w:bookmarkStart w:colFirst="0" w:colLast="0" w:name="_1hsjprsqvcvf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“Виртуальная реальность и виртуальное общение в контексте электронного обучения и дистанционных образовательных технологий: рекомендации психолога”, Шаг за шагом. Практика дистанционного образования детей-инвалидов: Сборник материалов/Сост. Рудинская В.В., Рудинский В.В. - Смоленск: ГАУ ДПО СОИРО, 2016.-88с.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“Внеурочные мероприятия в условиях электронного обучения”, Шаг за шагом. Практика дистанционного образования детей-инвалидов: Сборник материалов/Сост. Рудинская В.В., Рудинский В.В. - Смоленск: ГАУ ДПО СОИРО, 2016.-88с.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“Профориентационная работа в условия электронного обучения и дистанционных образовательных технологий”, Шаг за шагом. Практика дистанционного образования детей-инвалидов: Сборник материалов/Сост. Рудинская В.В., Рудинский В.В. - Смоленск: ГАУ ДПО СОИРО, 2016.-88с.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“Патриотическое воспитание на региональном материале: историческая рубрика "Школьное ТВ "Моя Смоленщина"”, Шаг за шагом. Практика дистанционного образования детей-инвалидов: Сборник материалов/Сост. Рудинская В.В., Рудинский В.В. - Смоленск: ГАУ ДПО СОИРО, 2016.-88с.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“Опыт организации и проведения межшкольного праздника "Пасхальный фестиваль" в дистанционном формате”, Шаг за шагом. Практика дистанционного образования детей-инвалидов: Сборник материалов/Сост. Рудинская В.В., Рудинский В.В. - Смоленск: ГАУ ДПО СОИРО, 2016.-88с.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“Опыт применения образовательных веб-квестов при организации учебно-воспитательной работы в ОГБОУ “Центр образования для детей с особыми образовательными потребностями г. Смоленска”, Сборник материалов ”Развитие научно-технического творчества детей и молодежи: материалы Всероссийской научно-практической конференции” – Смоленск, 2017. – Ч.1. – С. 37-41.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Аксюмова А.А.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“Грамматические категории русского языка:из практики электронного обучения”, Шаг за шагом. Практика дистанционного образования детей-инвалидов: Сборник материалов/Сост. Рудинская В.В., Рудинский В.В. - Смоленск: ГАУ ДПО СОИРО, 2016.-8 С. 44-47.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“Дистанционные формы работы классного руководителя: классный час, родительское собрание”, Шаг за шагом. Практика дистанционного образования детей-инвалидов: Сборник материалов/Сост. Рудинская В.В., Рудинский В.В. - Смоленск: ГАУ ДПО СОИРО, 2016.- С. 48-52.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Подготовка к публикации статьи «Особенности развития грамматического строя речи у обучающихся с нарушениями слуха: возможности электронного образования» (в рамках работы РИП Центра).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Ульянина Е.В.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ИСПОЛЬЗОВАНИЕ GOOGLE ДИСК В ОРГАНИЗАЦИИ РАБОТЫ ШКОЛЬНОГО МЕТОДИЧЕСКОГО ОБЪЕДИНЕНИЯ. Информационные технологии в прикладных исследованиях: сб. мат. и док. V всерос. науч.-практ. конф., Екатеринбург, 27 мая 2017 г. // ИОЦ «Инфо-метод». Екатеринбург, 2017. 80 с.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Проблема оценки сформированности универсальных учебных действий у обучающихся с ОВЗ. Инклюзивное и интегрированное образование: методология, технологии, практика: Сборник статей межрегиональной (с международным участием) научно-практической конференции 18-26 октября 2017 года - Смоленск:ГАУ ДПО СОИРО, 2017. - 184 с.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РАЗВИТИЕ ОСНОВНЫХ КОМПЕТЕНЦИЙ ОБУЧАЮЩИХСЯ С ОВЗ ПОСРЕДСТВОМ РЕАЛИЗАЦИИ СЕТЕВЫХ ИГРОВЫХ ПРОЕКТОВ.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Развитие научно-технического творчества детей молодежи: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материалы I Всероссийской научно-практической конференции. – Смоленск, 2017. – Ч.1 – 70 с.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ISB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N</w:t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“Мониторинг динамики развития познавательных УУД обучающихся с ОВЗ как критерий эффективности информационно-образовательной среды”, Шаг за шагом. Практика дистанционного образования детей-инвалидов: Сборник материалов/Сост. Рудинская В.В., Рудинский В.В. - Смоленск: ГАУ ДПО СОИРО, 2016.-8 С. 9-15.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forum-nauka.ru/domains_data/files/15/Ivanchenkova%20V.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